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0B896EE" w14:textId="77777777" w:rsidR="00C130C0"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C130C0" w:rsidRPr="00C130C0">
        <w:rPr>
          <w:rFonts w:ascii="Times New Roman" w:hAnsi="Times New Roman"/>
          <w:spacing w:val="-2"/>
          <w:sz w:val="24"/>
          <w:szCs w:val="24"/>
        </w:rPr>
        <w:t xml:space="preserve">Technical assistance for Assessment of current Registers in the Ministry of Agriculture, Forestry and Water Management and Development of the Road map for establishing completely EU </w:t>
      </w:r>
      <w:proofErr w:type="spellStart"/>
      <w:r w:rsidR="00C130C0" w:rsidRPr="00C130C0">
        <w:rPr>
          <w:rFonts w:ascii="Times New Roman" w:hAnsi="Times New Roman"/>
          <w:spacing w:val="-2"/>
          <w:sz w:val="24"/>
          <w:szCs w:val="24"/>
        </w:rPr>
        <w:t>harmonised</w:t>
      </w:r>
      <w:proofErr w:type="spellEnd"/>
      <w:r w:rsidR="00C130C0" w:rsidRPr="00C130C0">
        <w:rPr>
          <w:rFonts w:ascii="Times New Roman" w:hAnsi="Times New Roman"/>
          <w:spacing w:val="-2"/>
          <w:sz w:val="24"/>
          <w:szCs w:val="24"/>
        </w:rPr>
        <w:t xml:space="preserve"> Registers</w:t>
      </w:r>
    </w:p>
    <w:p w14:paraId="3B0BBDA7" w14:textId="4685B76E" w:rsidR="00EC50B8"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C130C0">
        <w:rPr>
          <w:rFonts w:ascii="Times New Roman" w:hAnsi="Times New Roman"/>
          <w:spacing w:val="-2"/>
          <w:sz w:val="24"/>
          <w:szCs w:val="24"/>
        </w:rPr>
        <w:t>21</w:t>
      </w:r>
      <w:r w:rsidR="00E6395A" w:rsidRPr="00134CCE">
        <w:rPr>
          <w:rFonts w:ascii="Times New Roman" w:hAnsi="Times New Roman"/>
          <w:spacing w:val="-2"/>
          <w:sz w:val="24"/>
          <w:szCs w:val="24"/>
        </w:rPr>
        <w:t>-</w:t>
      </w:r>
      <w:r w:rsidR="00B616A8" w:rsidRPr="00B616A8">
        <w:t xml:space="preserve"> </w:t>
      </w:r>
      <w:r w:rsidR="00B616A8" w:rsidRPr="00B616A8">
        <w:rPr>
          <w:rFonts w:ascii="Times New Roman" w:hAnsi="Times New Roman"/>
          <w:spacing w:val="-2"/>
          <w:sz w:val="24"/>
          <w:szCs w:val="24"/>
        </w:rPr>
        <w:t>1.2.1.</w:t>
      </w:r>
      <w:r w:rsidR="00C130C0">
        <w:rPr>
          <w:rFonts w:ascii="Times New Roman" w:hAnsi="Times New Roman"/>
          <w:spacing w:val="-2"/>
          <w:sz w:val="24"/>
          <w:szCs w:val="24"/>
        </w:rPr>
        <w:t>7</w:t>
      </w:r>
    </w:p>
    <w:p w14:paraId="4C77877C" w14:textId="77777777" w:rsidR="009830E4" w:rsidRPr="00134CCE" w:rsidRDefault="009830E4">
      <w:pPr>
        <w:suppressAutoHyphens/>
        <w:rPr>
          <w:rFonts w:ascii="Times New Roman" w:hAnsi="Times New Roman"/>
          <w:spacing w:val="-2"/>
          <w:sz w:val="24"/>
          <w:szCs w:val="24"/>
        </w:rPr>
      </w:pPr>
    </w:p>
    <w:p w14:paraId="20957564" w14:textId="714B9475"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C130C0" w:rsidRPr="00C130C0">
        <w:rPr>
          <w:rFonts w:ascii="Times New Roman" w:hAnsi="Times New Roman"/>
          <w:spacing w:val="-2"/>
          <w:sz w:val="24"/>
          <w:szCs w:val="24"/>
        </w:rPr>
        <w:t xml:space="preserve">Technical assistance for Assessment of current Registers in the Ministry of Agriculture, Forestry and Water Management and Development of the Road map for establishing completely EU </w:t>
      </w:r>
      <w:proofErr w:type="spellStart"/>
      <w:r w:rsidR="00C130C0" w:rsidRPr="00C130C0">
        <w:rPr>
          <w:rFonts w:ascii="Times New Roman" w:hAnsi="Times New Roman"/>
          <w:spacing w:val="-2"/>
          <w:sz w:val="24"/>
          <w:szCs w:val="24"/>
        </w:rPr>
        <w:t>harmonised</w:t>
      </w:r>
      <w:proofErr w:type="spellEnd"/>
      <w:r w:rsidR="00C130C0" w:rsidRPr="00C130C0">
        <w:rPr>
          <w:rFonts w:ascii="Times New Roman" w:hAnsi="Times New Roman"/>
          <w:spacing w:val="-2"/>
          <w:sz w:val="24"/>
          <w:szCs w:val="24"/>
        </w:rPr>
        <w:t xml:space="preserve"> Registers</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23823499" w14:textId="1BFB89BA" w:rsidR="00B616A8" w:rsidRDefault="00C130C0" w:rsidP="00B616A8">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Pr>
          <w:rFonts w:ascii="Times New Roman" w:hAnsi="Times New Roman"/>
          <w:spacing w:val="-2"/>
          <w:sz w:val="24"/>
          <w:szCs w:val="24"/>
        </w:rPr>
        <w:t xml:space="preserve">overall objective of this </w:t>
      </w:r>
      <w:r w:rsidRPr="00825B5C">
        <w:rPr>
          <w:rFonts w:ascii="Times New Roman" w:hAnsi="Times New Roman"/>
          <w:spacing w:val="-2"/>
          <w:sz w:val="24"/>
          <w:szCs w:val="24"/>
        </w:rPr>
        <w:t xml:space="preserve">consulting 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C130C0">
        <w:rPr>
          <w:rFonts w:ascii="Times New Roman" w:hAnsi="Times New Roman"/>
          <w:spacing w:val="-2"/>
          <w:sz w:val="24"/>
          <w:szCs w:val="24"/>
        </w:rPr>
        <w:t>is to i) assess the level of development of IT systems (relevant registers for agriculture and rural development) in the MAFWM, including all the systems in the relevant Directorates, in accordance with the national legislation and requirements for registers, ii) develop a proposal for a fully developed system of register(s) in accordance with requirements for harmonization with the EU, which will include a proposal for linking data from different registers, which means an assessment of the needs (possibilities) for linking existing registers, and iii) develop a roadmap accordingly, which includes but is not limited to the following: needs for change of legal acts, TS for upgrading the existing system, the need to upgrade human capacity (in terms of number and knowledge), cost estimates).</w:t>
      </w:r>
    </w:p>
    <w:p w14:paraId="12931370" w14:textId="77777777" w:rsidR="00B616A8" w:rsidRDefault="00B616A8" w:rsidP="00B616A8">
      <w:pPr>
        <w:suppressAutoHyphens/>
        <w:jc w:val="both"/>
        <w:rPr>
          <w:rFonts w:ascii="Times New Roman" w:hAnsi="Times New Roman"/>
          <w:spacing w:val="-2"/>
          <w:sz w:val="24"/>
          <w:szCs w:val="24"/>
        </w:rPr>
      </w:pPr>
    </w:p>
    <w:p w14:paraId="1AC535B2" w14:textId="73CE6CA3" w:rsidR="001C3893" w:rsidRDefault="001C3893" w:rsidP="00B616A8">
      <w:pPr>
        <w:suppressAutoHyphens/>
        <w:jc w:val="both"/>
        <w:rPr>
          <w:rFonts w:ascii="Times New Roman" w:hAnsi="Times New Roman"/>
          <w:spacing w:val="-2"/>
          <w:sz w:val="24"/>
        </w:rPr>
      </w:pPr>
      <w:r w:rsidRPr="00875353">
        <w:rPr>
          <w:rFonts w:ascii="Times New Roman" w:hAnsi="Times New Roman"/>
          <w:spacing w:val="-2"/>
          <w:sz w:val="24"/>
        </w:rPr>
        <w:t xml:space="preserve">The assignment will have </w:t>
      </w:r>
      <w:r w:rsidR="00C130C0" w:rsidRPr="00C130C0">
        <w:rPr>
          <w:rFonts w:ascii="Times New Roman" w:hAnsi="Times New Roman"/>
          <w:spacing w:val="-2"/>
          <w:sz w:val="24"/>
        </w:rPr>
        <w:t>a duration of the period of 5 (five) months and the required level of inputs is estimated at a total of 60 work/days, working from home and on site, depending of agreement with the beneficiary (at least 30 days of the assignment should be done on site). The video conference can replace opening meeting and/or consultations due to ongoing COVID-19 pandemic.</w:t>
      </w:r>
    </w:p>
    <w:p w14:paraId="79B473A3" w14:textId="77777777" w:rsidR="001C3893" w:rsidRDefault="001C3893" w:rsidP="00875353">
      <w:pPr>
        <w:suppressAutoHyphens/>
        <w:jc w:val="both"/>
        <w:rPr>
          <w:rFonts w:ascii="Times New Roman" w:hAnsi="Times New Roman"/>
          <w:spacing w:val="-2"/>
          <w:sz w:val="24"/>
          <w:szCs w:val="24"/>
        </w:rPr>
      </w:pPr>
    </w:p>
    <w:p w14:paraId="2469DD4E" w14:textId="3F0EB8E2" w:rsidR="001C3893" w:rsidRPr="00D12616"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7EB675D4" w14:textId="77777777" w:rsidR="00C130C0" w:rsidRPr="00C130C0" w:rsidRDefault="00C130C0" w:rsidP="00C130C0">
      <w:pPr>
        <w:rPr>
          <w:rFonts w:ascii="Times New Roman" w:hAnsi="Times New Roman"/>
          <w:color w:val="000000" w:themeColor="text1"/>
          <w:sz w:val="24"/>
          <w:szCs w:val="24"/>
          <w:u w:val="single"/>
        </w:rPr>
      </w:pPr>
      <w:r w:rsidRPr="00C130C0">
        <w:rPr>
          <w:rFonts w:ascii="Times New Roman" w:hAnsi="Times New Roman"/>
          <w:color w:val="000000" w:themeColor="text1"/>
          <w:sz w:val="24"/>
          <w:szCs w:val="24"/>
          <w:u w:val="single"/>
        </w:rPr>
        <w:t>Essential (mandatory) qualifications</w:t>
      </w:r>
    </w:p>
    <w:p w14:paraId="38D3489E" w14:textId="77777777" w:rsidR="00C130C0" w:rsidRPr="00C130C0" w:rsidRDefault="00C130C0" w:rsidP="00C130C0">
      <w:pPr>
        <w:pStyle w:val="ListParagraph"/>
        <w:widowControl w:val="0"/>
        <w:numPr>
          <w:ilvl w:val="0"/>
          <w:numId w:val="6"/>
        </w:numPr>
        <w:autoSpaceDE w:val="0"/>
        <w:autoSpaceDN w:val="0"/>
        <w:adjustRightInd w:val="0"/>
        <w:ind w:left="426" w:hanging="426"/>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 xml:space="preserve">University degree in agricultural engineering, natural sciences or computer sciences. In absence of such a degree from the requested fields, the expert will have an equivalent professional experience of minimum 15 years in the field of agriculture and computer sciences., </w:t>
      </w:r>
    </w:p>
    <w:p w14:paraId="1C959FF4" w14:textId="77777777" w:rsidR="00C130C0" w:rsidRPr="00C130C0" w:rsidRDefault="00C130C0" w:rsidP="00C130C0">
      <w:pPr>
        <w:pStyle w:val="ListParagraph"/>
        <w:numPr>
          <w:ilvl w:val="0"/>
          <w:numId w:val="6"/>
        </w:numPr>
        <w:ind w:left="426" w:hanging="426"/>
        <w:jc w:val="both"/>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At least 10 years of professional experience in the implementation of the EU Common Agricultural Policy (CAP), in particular related to IACS and other registers in the field of agriculture in EU member states and/or accession countries,</w:t>
      </w:r>
    </w:p>
    <w:p w14:paraId="33262337" w14:textId="77777777" w:rsidR="00C130C0" w:rsidRPr="00C130C0" w:rsidRDefault="00C130C0" w:rsidP="00C130C0">
      <w:pPr>
        <w:pStyle w:val="ListParagraph"/>
        <w:numPr>
          <w:ilvl w:val="0"/>
          <w:numId w:val="6"/>
        </w:numPr>
        <w:ind w:left="426" w:hanging="426"/>
        <w:jc w:val="both"/>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 xml:space="preserve">Relevant experience (at least 1 project) in the writing technical specifications for software development for agriculture registers, </w:t>
      </w:r>
    </w:p>
    <w:p w14:paraId="5921CB12" w14:textId="77777777" w:rsidR="00C130C0" w:rsidRPr="00C130C0" w:rsidRDefault="00C130C0" w:rsidP="00C130C0">
      <w:pPr>
        <w:pStyle w:val="ListParagraph"/>
        <w:numPr>
          <w:ilvl w:val="0"/>
          <w:numId w:val="6"/>
        </w:numPr>
        <w:ind w:left="426" w:hanging="426"/>
        <w:jc w:val="both"/>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Relevant experience (at least 1 project) in the development of the technical specifications for hardware infrastructure (server configurations),</w:t>
      </w:r>
    </w:p>
    <w:p w14:paraId="0078666E" w14:textId="2905048D" w:rsidR="00C130C0" w:rsidRPr="00C130C0" w:rsidRDefault="00C130C0" w:rsidP="00C130C0">
      <w:pPr>
        <w:pStyle w:val="ListParagraph"/>
        <w:numPr>
          <w:ilvl w:val="0"/>
          <w:numId w:val="6"/>
        </w:numPr>
        <w:ind w:left="426" w:hanging="426"/>
        <w:jc w:val="both"/>
        <w:rPr>
          <w:rFonts w:ascii="Times New Roman" w:hAnsi="Times New Roman"/>
          <w:color w:val="000000" w:themeColor="text1"/>
          <w:sz w:val="24"/>
          <w:szCs w:val="24"/>
          <w:u w:val="single"/>
        </w:rPr>
      </w:pPr>
      <w:r w:rsidRPr="00C130C0">
        <w:rPr>
          <w:rFonts w:ascii="Times New Roman" w:hAnsi="Times New Roman"/>
          <w:color w:val="000000" w:themeColor="text1"/>
          <w:spacing w:val="-3"/>
          <w:sz w:val="24"/>
          <w:szCs w:val="24"/>
        </w:rPr>
        <w:t>Excellent command of the English language, and strong oral and written communication.</w:t>
      </w:r>
    </w:p>
    <w:p w14:paraId="408C5D74" w14:textId="77777777" w:rsidR="00C130C0" w:rsidRPr="00C130C0" w:rsidRDefault="00C130C0" w:rsidP="00C130C0">
      <w:pPr>
        <w:pStyle w:val="ListParagraph"/>
        <w:ind w:left="426"/>
        <w:jc w:val="both"/>
        <w:rPr>
          <w:rFonts w:ascii="Times New Roman" w:hAnsi="Times New Roman"/>
          <w:color w:val="000000" w:themeColor="text1"/>
          <w:sz w:val="24"/>
          <w:szCs w:val="24"/>
          <w:u w:val="single"/>
        </w:rPr>
      </w:pPr>
    </w:p>
    <w:p w14:paraId="25FE4B3A" w14:textId="77777777" w:rsidR="00C130C0" w:rsidRPr="00C130C0" w:rsidRDefault="00C130C0" w:rsidP="00C130C0">
      <w:pPr>
        <w:rPr>
          <w:rFonts w:ascii="Times New Roman" w:hAnsi="Times New Roman"/>
          <w:color w:val="000000" w:themeColor="text1"/>
          <w:sz w:val="24"/>
          <w:szCs w:val="24"/>
        </w:rPr>
      </w:pPr>
      <w:r w:rsidRPr="00C130C0">
        <w:rPr>
          <w:rFonts w:ascii="Times New Roman" w:hAnsi="Times New Roman"/>
          <w:color w:val="000000" w:themeColor="text1"/>
          <w:sz w:val="24"/>
          <w:szCs w:val="24"/>
        </w:rPr>
        <w:t xml:space="preserve">Evaluation criteria: </w:t>
      </w:r>
    </w:p>
    <w:tbl>
      <w:tblPr>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C130C0" w:rsidRPr="00C130C0" w14:paraId="7806D03E" w14:textId="77777777" w:rsidTr="00C130C0">
        <w:tc>
          <w:tcPr>
            <w:tcW w:w="6840" w:type="dxa"/>
            <w:shd w:val="clear" w:color="auto" w:fill="D9D9D9"/>
          </w:tcPr>
          <w:p w14:paraId="2798AB91" w14:textId="77777777" w:rsidR="00C130C0" w:rsidRPr="00C130C0" w:rsidRDefault="00C130C0" w:rsidP="002E1A7A">
            <w:pPr>
              <w:ind w:left="360"/>
              <w:rPr>
                <w:rFonts w:ascii="Times New Roman" w:hAnsi="Times New Roman"/>
                <w:color w:val="000000" w:themeColor="text1"/>
                <w:sz w:val="24"/>
                <w:szCs w:val="24"/>
                <w:u w:val="single"/>
              </w:rPr>
            </w:pPr>
            <w:r w:rsidRPr="00C130C0">
              <w:rPr>
                <w:rFonts w:ascii="Times New Roman" w:hAnsi="Times New Roman"/>
                <w:color w:val="000000" w:themeColor="text1"/>
                <w:sz w:val="24"/>
                <w:szCs w:val="24"/>
                <w:u w:val="single"/>
              </w:rPr>
              <w:t>Qualifications</w:t>
            </w:r>
          </w:p>
        </w:tc>
        <w:tc>
          <w:tcPr>
            <w:tcW w:w="1512" w:type="dxa"/>
            <w:shd w:val="clear" w:color="auto" w:fill="D9D9D9"/>
          </w:tcPr>
          <w:p w14:paraId="26FAA132" w14:textId="77777777" w:rsidR="00C130C0" w:rsidRPr="00C130C0" w:rsidRDefault="00C130C0" w:rsidP="002E1A7A">
            <w:pPr>
              <w:rPr>
                <w:rFonts w:ascii="Times New Roman" w:hAnsi="Times New Roman"/>
                <w:color w:val="000000" w:themeColor="text1"/>
                <w:sz w:val="24"/>
                <w:szCs w:val="24"/>
              </w:rPr>
            </w:pPr>
            <w:r w:rsidRPr="00C130C0">
              <w:rPr>
                <w:rFonts w:ascii="Times New Roman" w:hAnsi="Times New Roman"/>
                <w:color w:val="000000" w:themeColor="text1"/>
                <w:sz w:val="24"/>
                <w:szCs w:val="24"/>
              </w:rPr>
              <w:t>Points (max)</w:t>
            </w:r>
          </w:p>
        </w:tc>
      </w:tr>
      <w:tr w:rsidR="00C130C0" w:rsidRPr="00C130C0" w14:paraId="0F21978E" w14:textId="77777777" w:rsidTr="00C130C0">
        <w:tc>
          <w:tcPr>
            <w:tcW w:w="6840" w:type="dxa"/>
          </w:tcPr>
          <w:p w14:paraId="386FD140" w14:textId="77777777" w:rsidR="00C130C0" w:rsidRPr="00C130C0" w:rsidRDefault="00C130C0" w:rsidP="002E1A7A">
            <w:pPr>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Relevant experience in writing technical specifications for IACS, in particular LPIS, Farmer Registry or other registers in the field of agriculture.</w:t>
            </w:r>
          </w:p>
        </w:tc>
        <w:tc>
          <w:tcPr>
            <w:tcW w:w="1512" w:type="dxa"/>
          </w:tcPr>
          <w:p w14:paraId="34BB43B7" w14:textId="77777777" w:rsidR="00C130C0" w:rsidRPr="00C130C0" w:rsidRDefault="00C130C0" w:rsidP="002E1A7A">
            <w:pPr>
              <w:widowControl w:val="0"/>
              <w:tabs>
                <w:tab w:val="left" w:pos="2056"/>
                <w:tab w:val="center" w:pos="2520"/>
              </w:tabs>
              <w:suppressAutoHyphens/>
              <w:jc w:val="center"/>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45</w:t>
            </w:r>
          </w:p>
        </w:tc>
      </w:tr>
      <w:tr w:rsidR="00C130C0" w:rsidRPr="00C130C0" w14:paraId="695F3E96" w14:textId="77777777" w:rsidTr="00C130C0">
        <w:trPr>
          <w:trHeight w:val="550"/>
        </w:trPr>
        <w:tc>
          <w:tcPr>
            <w:tcW w:w="6840" w:type="dxa"/>
          </w:tcPr>
          <w:p w14:paraId="16BFCE6C" w14:textId="77777777" w:rsidR="00C130C0" w:rsidRPr="00C130C0" w:rsidRDefault="00C130C0" w:rsidP="002E1A7A">
            <w:pPr>
              <w:widowControl w:val="0"/>
              <w:tabs>
                <w:tab w:val="left" w:pos="2056"/>
                <w:tab w:val="center" w:pos="2520"/>
              </w:tabs>
              <w:suppressAutoHyphens/>
              <w:rPr>
                <w:rFonts w:ascii="Times New Roman" w:hAnsi="Times New Roman"/>
                <w:color w:val="000000" w:themeColor="text1"/>
                <w:sz w:val="24"/>
                <w:szCs w:val="24"/>
                <w:u w:val="single"/>
              </w:rPr>
            </w:pPr>
            <w:r w:rsidRPr="00C130C0">
              <w:rPr>
                <w:rFonts w:ascii="Times New Roman" w:hAnsi="Times New Roman"/>
                <w:color w:val="000000" w:themeColor="text1"/>
                <w:sz w:val="24"/>
                <w:szCs w:val="24"/>
              </w:rPr>
              <w:t>Demonstrated experience in analysis/assessments of IT systems in the agriculture and rural development area, both in EU member states and accession countries.</w:t>
            </w:r>
            <w:r w:rsidRPr="00C130C0" w:rsidDel="00332C78">
              <w:rPr>
                <w:rFonts w:ascii="Times New Roman" w:hAnsi="Times New Roman"/>
                <w:color w:val="000000" w:themeColor="text1"/>
                <w:sz w:val="24"/>
                <w:szCs w:val="24"/>
              </w:rPr>
              <w:t xml:space="preserve"> </w:t>
            </w:r>
            <w:r w:rsidRPr="00C130C0">
              <w:rPr>
                <w:rFonts w:ascii="Times New Roman" w:hAnsi="Times New Roman"/>
                <w:color w:val="000000" w:themeColor="text1"/>
                <w:sz w:val="24"/>
                <w:szCs w:val="24"/>
              </w:rPr>
              <w:t xml:space="preserve"> </w:t>
            </w:r>
          </w:p>
        </w:tc>
        <w:tc>
          <w:tcPr>
            <w:tcW w:w="1512" w:type="dxa"/>
          </w:tcPr>
          <w:p w14:paraId="575EC2AD" w14:textId="77777777" w:rsidR="00C130C0" w:rsidRPr="00C130C0" w:rsidRDefault="00C130C0" w:rsidP="002E1A7A">
            <w:pPr>
              <w:widowControl w:val="0"/>
              <w:tabs>
                <w:tab w:val="left" w:pos="2056"/>
                <w:tab w:val="center" w:pos="2520"/>
              </w:tabs>
              <w:suppressAutoHyphens/>
              <w:jc w:val="center"/>
              <w:rPr>
                <w:rFonts w:ascii="Times New Roman" w:hAnsi="Times New Roman"/>
                <w:color w:val="000000" w:themeColor="text1"/>
                <w:sz w:val="24"/>
                <w:szCs w:val="24"/>
              </w:rPr>
            </w:pPr>
            <w:r w:rsidRPr="00C130C0">
              <w:rPr>
                <w:rFonts w:ascii="Times New Roman" w:hAnsi="Times New Roman"/>
                <w:color w:val="000000" w:themeColor="text1"/>
                <w:sz w:val="24"/>
                <w:szCs w:val="24"/>
              </w:rPr>
              <w:t>30</w:t>
            </w:r>
          </w:p>
        </w:tc>
      </w:tr>
      <w:tr w:rsidR="00C130C0" w:rsidRPr="00C130C0" w14:paraId="044A395D" w14:textId="77777777" w:rsidTr="00C130C0">
        <w:tc>
          <w:tcPr>
            <w:tcW w:w="6840" w:type="dxa"/>
          </w:tcPr>
          <w:p w14:paraId="05F0F53C" w14:textId="77777777" w:rsidR="00C130C0" w:rsidRPr="00C130C0" w:rsidRDefault="00C130C0" w:rsidP="002E1A7A">
            <w:pPr>
              <w:widowControl w:val="0"/>
              <w:tabs>
                <w:tab w:val="left" w:pos="2056"/>
                <w:tab w:val="center" w:pos="2520"/>
              </w:tabs>
              <w:suppressAutoHyphens/>
              <w:rPr>
                <w:rFonts w:ascii="Times New Roman" w:hAnsi="Times New Roman"/>
                <w:color w:val="000000" w:themeColor="text1"/>
                <w:sz w:val="24"/>
                <w:szCs w:val="24"/>
              </w:rPr>
            </w:pPr>
            <w:r w:rsidRPr="00C130C0">
              <w:rPr>
                <w:rFonts w:ascii="Times New Roman" w:hAnsi="Times New Roman"/>
                <w:color w:val="000000" w:themeColor="text1"/>
                <w:spacing w:val="-3"/>
                <w:sz w:val="24"/>
                <w:szCs w:val="24"/>
              </w:rPr>
              <w:t>Experience in the area of EU rules and legal bases for the implementation of pre-accession measures.</w:t>
            </w:r>
          </w:p>
        </w:tc>
        <w:tc>
          <w:tcPr>
            <w:tcW w:w="1512" w:type="dxa"/>
          </w:tcPr>
          <w:p w14:paraId="07FCB220" w14:textId="77777777" w:rsidR="00C130C0" w:rsidRPr="00C130C0" w:rsidRDefault="00C130C0" w:rsidP="002E1A7A">
            <w:pPr>
              <w:widowControl w:val="0"/>
              <w:tabs>
                <w:tab w:val="left" w:pos="2056"/>
                <w:tab w:val="center" w:pos="2520"/>
              </w:tabs>
              <w:suppressAutoHyphens/>
              <w:jc w:val="center"/>
              <w:rPr>
                <w:rFonts w:ascii="Times New Roman" w:hAnsi="Times New Roman"/>
                <w:color w:val="000000" w:themeColor="text1"/>
                <w:sz w:val="24"/>
                <w:szCs w:val="24"/>
              </w:rPr>
            </w:pPr>
            <w:r w:rsidRPr="00C130C0">
              <w:rPr>
                <w:rFonts w:ascii="Times New Roman" w:hAnsi="Times New Roman"/>
                <w:color w:val="000000" w:themeColor="text1"/>
                <w:sz w:val="24"/>
                <w:szCs w:val="24"/>
              </w:rPr>
              <w:t>20</w:t>
            </w:r>
          </w:p>
        </w:tc>
      </w:tr>
      <w:tr w:rsidR="00C130C0" w:rsidRPr="00C130C0" w14:paraId="3FDA551C" w14:textId="77777777" w:rsidTr="00C130C0">
        <w:tc>
          <w:tcPr>
            <w:tcW w:w="6840" w:type="dxa"/>
          </w:tcPr>
          <w:p w14:paraId="2E87600E" w14:textId="77777777" w:rsidR="00C130C0" w:rsidRPr="00C130C0" w:rsidRDefault="00C130C0" w:rsidP="002E1A7A">
            <w:pPr>
              <w:widowControl w:val="0"/>
              <w:tabs>
                <w:tab w:val="left" w:pos="2056"/>
                <w:tab w:val="center" w:pos="2520"/>
              </w:tabs>
              <w:suppressAutoHyphens/>
              <w:rPr>
                <w:rFonts w:ascii="Times New Roman" w:hAnsi="Times New Roman"/>
                <w:color w:val="000000" w:themeColor="text1"/>
                <w:sz w:val="24"/>
                <w:szCs w:val="24"/>
              </w:rPr>
            </w:pPr>
            <w:r w:rsidRPr="00C130C0">
              <w:rPr>
                <w:rFonts w:ascii="Times New Roman" w:hAnsi="Times New Roman"/>
                <w:color w:val="000000" w:themeColor="text1"/>
                <w:sz w:val="24"/>
                <w:szCs w:val="24"/>
              </w:rPr>
              <w:t>Experience in capacity building of public institutions.</w:t>
            </w:r>
          </w:p>
        </w:tc>
        <w:tc>
          <w:tcPr>
            <w:tcW w:w="1512" w:type="dxa"/>
          </w:tcPr>
          <w:p w14:paraId="1A7CC690" w14:textId="77777777" w:rsidR="00C130C0" w:rsidRPr="00C130C0" w:rsidRDefault="00C130C0" w:rsidP="002E1A7A">
            <w:pPr>
              <w:widowControl w:val="0"/>
              <w:tabs>
                <w:tab w:val="left" w:pos="2056"/>
                <w:tab w:val="center" w:pos="2520"/>
              </w:tabs>
              <w:suppressAutoHyphens/>
              <w:jc w:val="center"/>
              <w:rPr>
                <w:rFonts w:ascii="Times New Roman" w:hAnsi="Times New Roman"/>
                <w:color w:val="000000" w:themeColor="text1"/>
                <w:sz w:val="24"/>
                <w:szCs w:val="24"/>
              </w:rPr>
            </w:pPr>
            <w:r w:rsidRPr="00C130C0">
              <w:rPr>
                <w:rFonts w:ascii="Times New Roman" w:hAnsi="Times New Roman"/>
                <w:color w:val="000000" w:themeColor="text1"/>
                <w:sz w:val="24"/>
                <w:szCs w:val="24"/>
              </w:rPr>
              <w:t>5</w:t>
            </w:r>
          </w:p>
        </w:tc>
      </w:tr>
      <w:tr w:rsidR="00C130C0" w:rsidRPr="00C130C0" w14:paraId="3F8F0D4D" w14:textId="77777777" w:rsidTr="00C130C0">
        <w:tc>
          <w:tcPr>
            <w:tcW w:w="6840" w:type="dxa"/>
          </w:tcPr>
          <w:p w14:paraId="35FFE1FF" w14:textId="77777777" w:rsidR="00C130C0" w:rsidRPr="00C130C0" w:rsidRDefault="00C130C0" w:rsidP="002E1A7A">
            <w:pPr>
              <w:widowControl w:val="0"/>
              <w:tabs>
                <w:tab w:val="left" w:pos="2056"/>
                <w:tab w:val="center" w:pos="2520"/>
              </w:tabs>
              <w:suppressAutoHyphens/>
              <w:rPr>
                <w:rFonts w:ascii="Times New Roman" w:hAnsi="Times New Roman"/>
                <w:i/>
                <w:color w:val="000000" w:themeColor="text1"/>
                <w:spacing w:val="-3"/>
                <w:sz w:val="24"/>
                <w:szCs w:val="24"/>
              </w:rPr>
            </w:pPr>
            <w:r w:rsidRPr="00C130C0">
              <w:rPr>
                <w:rFonts w:ascii="Times New Roman" w:hAnsi="Times New Roman"/>
                <w:i/>
                <w:color w:val="000000" w:themeColor="text1"/>
                <w:spacing w:val="-3"/>
                <w:sz w:val="24"/>
                <w:szCs w:val="24"/>
              </w:rPr>
              <w:t>Total</w:t>
            </w:r>
          </w:p>
        </w:tc>
        <w:tc>
          <w:tcPr>
            <w:tcW w:w="1512" w:type="dxa"/>
          </w:tcPr>
          <w:p w14:paraId="348DD0C6" w14:textId="77777777" w:rsidR="00C130C0" w:rsidRPr="00C130C0" w:rsidRDefault="00C130C0" w:rsidP="002E1A7A">
            <w:pPr>
              <w:widowControl w:val="0"/>
              <w:tabs>
                <w:tab w:val="left" w:pos="2056"/>
                <w:tab w:val="center" w:pos="2520"/>
              </w:tabs>
              <w:suppressAutoHyphens/>
              <w:jc w:val="center"/>
              <w:rPr>
                <w:rFonts w:ascii="Times New Roman" w:hAnsi="Times New Roman"/>
                <w:color w:val="000000" w:themeColor="text1"/>
                <w:spacing w:val="-3"/>
                <w:sz w:val="24"/>
                <w:szCs w:val="24"/>
              </w:rPr>
            </w:pPr>
            <w:r w:rsidRPr="00C130C0">
              <w:rPr>
                <w:rFonts w:ascii="Times New Roman" w:hAnsi="Times New Roman"/>
                <w:color w:val="000000" w:themeColor="text1"/>
                <w:spacing w:val="-3"/>
                <w:sz w:val="24"/>
                <w:szCs w:val="24"/>
              </w:rPr>
              <w:t>100</w:t>
            </w:r>
          </w:p>
        </w:tc>
      </w:tr>
    </w:tbl>
    <w:p w14:paraId="6DFE26D9" w14:textId="77777777" w:rsidR="00C130C0" w:rsidRPr="0090629E" w:rsidRDefault="00C130C0" w:rsidP="00C130C0">
      <w:pPr>
        <w:pStyle w:val="ListParagraph"/>
        <w:jc w:val="both"/>
        <w:rPr>
          <w:rFonts w:asciiTheme="minorHAnsi" w:hAnsiTheme="minorHAnsi" w:cstheme="minorHAnsi"/>
          <w:b/>
          <w:color w:val="000000" w:themeColor="text1"/>
          <w:szCs w:val="22"/>
        </w:rPr>
      </w:pP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7AE103BB"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C130C0" w:rsidRPr="0092470A">
        <w:rPr>
          <w:rFonts w:ascii="Times New Roman" w:hAnsi="Times New Roman"/>
          <w:b/>
          <w:bCs/>
          <w:spacing w:val="-2"/>
          <w:sz w:val="24"/>
        </w:rPr>
        <w:t>February</w:t>
      </w:r>
      <w:r w:rsidR="00FB79B2" w:rsidRPr="0092470A">
        <w:rPr>
          <w:rFonts w:ascii="Times New Roman" w:hAnsi="Times New Roman"/>
          <w:b/>
          <w:bCs/>
          <w:spacing w:val="-2"/>
          <w:sz w:val="24"/>
        </w:rPr>
        <w:t xml:space="preserve"> </w:t>
      </w:r>
      <w:r w:rsidR="0092470A" w:rsidRPr="0092470A">
        <w:rPr>
          <w:rFonts w:ascii="Times New Roman" w:hAnsi="Times New Roman"/>
          <w:b/>
          <w:bCs/>
          <w:spacing w:val="-2"/>
          <w:sz w:val="24"/>
        </w:rPr>
        <w:t>17</w:t>
      </w:r>
      <w:r w:rsidR="00E6395A" w:rsidRPr="0092470A">
        <w:rPr>
          <w:rFonts w:ascii="Times New Roman" w:hAnsi="Times New Roman"/>
          <w:b/>
          <w:bCs/>
          <w:spacing w:val="-2"/>
          <w:sz w:val="24"/>
        </w:rPr>
        <w:t>,</w:t>
      </w:r>
      <w:r w:rsidR="002C7721" w:rsidRPr="0092470A">
        <w:rPr>
          <w:rFonts w:ascii="Times New Roman" w:hAnsi="Times New Roman"/>
          <w:b/>
          <w:bCs/>
          <w:spacing w:val="-2"/>
          <w:sz w:val="24"/>
        </w:rPr>
        <w:t xml:space="preserve"> 20</w:t>
      </w:r>
      <w:r w:rsidR="00C130C0" w:rsidRPr="0092470A">
        <w:rPr>
          <w:rFonts w:ascii="Times New Roman" w:hAnsi="Times New Roman"/>
          <w:b/>
          <w:bCs/>
          <w:spacing w:val="-2"/>
          <w:sz w:val="24"/>
        </w:rPr>
        <w:t>21</w:t>
      </w:r>
      <w:r w:rsidR="00E6395A" w:rsidRPr="0092470A">
        <w:rPr>
          <w:rFonts w:ascii="Times New Roman" w:hAnsi="Times New Roman"/>
          <w:b/>
          <w:bCs/>
          <w:spacing w:val="-2"/>
          <w:sz w:val="24"/>
        </w:rPr>
        <w:t xml:space="preserve">, </w:t>
      </w:r>
      <w:r w:rsidR="002C7721" w:rsidRPr="0092470A">
        <w:rPr>
          <w:rFonts w:ascii="Times New Roman" w:hAnsi="Times New Roman"/>
          <w:b/>
          <w:bCs/>
          <w:spacing w:val="-2"/>
          <w:sz w:val="24"/>
        </w:rPr>
        <w:t>14,00</w:t>
      </w:r>
      <w:r w:rsidR="00E6395A" w:rsidRPr="0092470A">
        <w:rPr>
          <w:rFonts w:ascii="Times New Roman" w:hAnsi="Times New Roman"/>
          <w:b/>
          <w:bCs/>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6DC72B5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and Social Welfare</w:t>
      </w:r>
      <w:r w:rsidRPr="00E6395A">
        <w:rPr>
          <w:rFonts w:ascii="Times New Roman" w:hAnsi="Times New Roman"/>
          <w:iCs/>
          <w:spacing w:val="-2"/>
          <w:sz w:val="24"/>
        </w:rPr>
        <w:t>/Technical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C4AF9" w14:textId="77777777" w:rsidR="00C714F7" w:rsidRDefault="00C714F7">
      <w:r>
        <w:separator/>
      </w:r>
    </w:p>
  </w:endnote>
  <w:endnote w:type="continuationSeparator" w:id="0">
    <w:p w14:paraId="2611A81A" w14:textId="77777777" w:rsidR="00C714F7" w:rsidRDefault="00C714F7">
      <w:r>
        <w:rPr>
          <w:sz w:val="24"/>
        </w:rPr>
        <w:t xml:space="preserve"> </w:t>
      </w:r>
    </w:p>
  </w:endnote>
  <w:endnote w:type="continuationNotice" w:id="1">
    <w:p w14:paraId="2DC0177B" w14:textId="77777777" w:rsidR="00C714F7" w:rsidRDefault="00C714F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270F" w14:textId="77777777" w:rsidR="00C714F7" w:rsidRDefault="00C714F7">
      <w:r>
        <w:rPr>
          <w:sz w:val="24"/>
        </w:rPr>
        <w:separator/>
      </w:r>
    </w:p>
  </w:footnote>
  <w:footnote w:type="continuationSeparator" w:id="0">
    <w:p w14:paraId="4674C832" w14:textId="77777777" w:rsidR="00C714F7" w:rsidRDefault="00C7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36807"/>
    <w:rsid w:val="002461A8"/>
    <w:rsid w:val="002727A9"/>
    <w:rsid w:val="00276E66"/>
    <w:rsid w:val="002B2EC7"/>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470A"/>
    <w:rsid w:val="0092546E"/>
    <w:rsid w:val="00930D65"/>
    <w:rsid w:val="00945686"/>
    <w:rsid w:val="009511FD"/>
    <w:rsid w:val="009830E4"/>
    <w:rsid w:val="009A68A1"/>
    <w:rsid w:val="009A780C"/>
    <w:rsid w:val="009C3C43"/>
    <w:rsid w:val="009C747E"/>
    <w:rsid w:val="00A05A45"/>
    <w:rsid w:val="00A13CF4"/>
    <w:rsid w:val="00A27613"/>
    <w:rsid w:val="00A56872"/>
    <w:rsid w:val="00A90DFA"/>
    <w:rsid w:val="00AB71C1"/>
    <w:rsid w:val="00B20153"/>
    <w:rsid w:val="00B3630A"/>
    <w:rsid w:val="00B616A8"/>
    <w:rsid w:val="00BA4299"/>
    <w:rsid w:val="00BC1BB9"/>
    <w:rsid w:val="00BD14B2"/>
    <w:rsid w:val="00BD64C7"/>
    <w:rsid w:val="00BD6CBC"/>
    <w:rsid w:val="00BE11E0"/>
    <w:rsid w:val="00C130C0"/>
    <w:rsid w:val="00C2058C"/>
    <w:rsid w:val="00C24DF1"/>
    <w:rsid w:val="00C523ED"/>
    <w:rsid w:val="00C55D76"/>
    <w:rsid w:val="00C70D43"/>
    <w:rsid w:val="00C714F7"/>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5408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25</cp:revision>
  <cp:lastPrinted>2017-08-01T14:35:00Z</cp:lastPrinted>
  <dcterms:created xsi:type="dcterms:W3CDTF">2018-10-23T14:49:00Z</dcterms:created>
  <dcterms:modified xsi:type="dcterms:W3CDTF">2021-02-03T06:45:00Z</dcterms:modified>
</cp:coreProperties>
</file>